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30056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jc w:val="center"/>
        <w:textAlignment w:val="auto"/>
        <w:rPr>
          <w:rFonts w:hint="default" w:ascii="Times New Roman" w:hAnsi="Times New Roman" w:cs="Times New Roman"/>
          <w:b w:val="0"/>
          <w:bCs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Научно-исследовательская база для осуществления НИР по направлению подготовки   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ru-RU"/>
        </w:rPr>
        <w:t>5.3.Психология</w:t>
      </w:r>
    </w:p>
    <w:p w14:paraId="2157E57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jc w:val="center"/>
        <w:textAlignment w:val="auto"/>
        <w:rPr>
          <w:rFonts w:hint="default" w:ascii="Times New Roman" w:hAnsi="Times New Roman" w:cs="Times New Roman"/>
          <w:b w:val="0"/>
          <w:bCs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 xml:space="preserve">Название области науки, группы научных специальностей, научной специальности: </w:t>
      </w:r>
    </w:p>
    <w:p w14:paraId="64401A2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jc w:val="center"/>
        <w:textAlignment w:val="auto"/>
        <w:rPr>
          <w:rFonts w:hint="default" w:ascii="Times New Roman" w:hAnsi="Times New Roman" w:cs="Times New Roman"/>
          <w:b w:val="0"/>
          <w:bCs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/>
          <w:sz w:val="24"/>
          <w:szCs w:val="24"/>
          <w:lang w:val="ru-RU"/>
        </w:rPr>
        <w:t xml:space="preserve">Социальная  психология </w:t>
      </w:r>
    </w:p>
    <w:p w14:paraId="2764D0D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jc w:val="center"/>
        <w:textAlignment w:val="auto"/>
        <w:rPr>
          <w:rFonts w:hint="default" w:ascii="Times New Roman" w:hAnsi="Times New Roman" w:cs="Times New Roman"/>
          <w:b w:val="0"/>
          <w:bCs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 xml:space="preserve">Образовательная программа «Психология» </w:t>
      </w:r>
    </w:p>
    <w:p w14:paraId="76BF2BB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jc w:val="center"/>
        <w:textAlignment w:val="auto"/>
        <w:rPr>
          <w:rFonts w:hint="default" w:ascii="Times New Roman" w:hAnsi="Times New Roman" w:cs="Times New Roman"/>
          <w:b w:val="0"/>
          <w:bCs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>(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ru-RU"/>
        </w:rPr>
        <w:t>5.3.5.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/>
          <w:b w:val="0"/>
          <w:bCs/>
          <w:sz w:val="24"/>
          <w:szCs w:val="24"/>
          <w:lang w:val="ru-RU"/>
        </w:rPr>
        <w:t>Социальная психология, политическая и экономическая психология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>)</w:t>
      </w:r>
    </w:p>
    <w:p w14:paraId="57B98DDA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397D4FE0">
      <w:pPr>
        <w:spacing w:after="0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Лаборатории</w:t>
      </w:r>
    </w:p>
    <w:tbl>
      <w:tblPr>
        <w:tblStyle w:val="4"/>
        <w:tblpPr w:leftFromText="180" w:rightFromText="180" w:vertAnchor="text" w:horzAnchor="page" w:tblpX="1088" w:tblpY="291"/>
        <w:tblOverlap w:val="never"/>
        <w:tblW w:w="1010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0"/>
        <w:gridCol w:w="2928"/>
        <w:gridCol w:w="2592"/>
        <w:gridCol w:w="2724"/>
      </w:tblGrid>
      <w:tr w14:paraId="71E51D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0" w:type="dxa"/>
          </w:tcPr>
          <w:p w14:paraId="1AC4240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Подразделение СГСПУ</w:t>
            </w:r>
          </w:p>
        </w:tc>
        <w:tc>
          <w:tcPr>
            <w:tcW w:w="2928" w:type="dxa"/>
          </w:tcPr>
          <w:p w14:paraId="0D0C69F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Название лаборатории</w:t>
            </w:r>
          </w:p>
        </w:tc>
        <w:tc>
          <w:tcPr>
            <w:tcW w:w="2592" w:type="dxa"/>
          </w:tcPr>
          <w:p w14:paraId="18E72535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/>
              </w:rPr>
              <w:t>Проблема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НИР</w:t>
            </w:r>
          </w:p>
        </w:tc>
        <w:tc>
          <w:tcPr>
            <w:tcW w:w="2724" w:type="dxa"/>
          </w:tcPr>
          <w:p w14:paraId="1485992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Руководитель лаборатории</w:t>
            </w:r>
          </w:p>
        </w:tc>
      </w:tr>
      <w:tr w14:paraId="015098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0" w:type="dxa"/>
            <w:vMerge w:val="restart"/>
          </w:tcPr>
          <w:p w14:paraId="153A92E3"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Кафедра педагогики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и психологии </w:t>
            </w:r>
          </w:p>
        </w:tc>
        <w:tc>
          <w:tcPr>
            <w:tcW w:w="2928" w:type="dxa"/>
          </w:tcPr>
          <w:p w14:paraId="37AE1465"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Учебная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лаборатория детско-родительского консультирования</w:t>
            </w:r>
          </w:p>
        </w:tc>
        <w:tc>
          <w:tcPr>
            <w:tcW w:w="2592" w:type="dxa"/>
          </w:tcPr>
          <w:p w14:paraId="501ADFD4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sz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lang w:val="ru-RU"/>
              </w:rPr>
              <w:t>И</w:t>
            </w:r>
            <w:r>
              <w:rPr>
                <w:rFonts w:hint="default" w:ascii="Times New Roman" w:hAnsi="Times New Roman" w:cs="Times New Roman"/>
                <w:sz w:val="24"/>
                <w:lang w:val="en-US"/>
              </w:rPr>
              <w:t xml:space="preserve">зучение концептуальных подходов </w:t>
            </w:r>
            <w:r>
              <w:rPr>
                <w:rFonts w:hint="default" w:ascii="Times New Roman" w:hAnsi="Times New Roman" w:cs="Times New Roman"/>
                <w:sz w:val="24"/>
                <w:lang w:val="ru-RU"/>
              </w:rPr>
              <w:t xml:space="preserve">и </w:t>
            </w:r>
            <w:r>
              <w:rPr>
                <w:rFonts w:hint="default" w:ascii="Times New Roman" w:hAnsi="Times New Roman" w:cs="Times New Roman"/>
                <w:sz w:val="24"/>
                <w:lang w:val="en-US"/>
              </w:rPr>
              <w:t>особенностей детско-родительского взаимодействия</w:t>
            </w:r>
            <w:r>
              <w:rPr>
                <w:rFonts w:hint="default" w:ascii="Times New Roman" w:hAnsi="Times New Roman" w:cs="Times New Roman"/>
                <w:sz w:val="24"/>
                <w:lang w:val="ru-RU"/>
              </w:rPr>
              <w:t>;</w:t>
            </w:r>
            <w:r>
              <w:rPr>
                <w:rFonts w:hint="default" w:ascii="Times New Roman" w:hAnsi="Times New Roman" w:cs="Times New Roman"/>
                <w:sz w:val="24"/>
                <w:lang w:val="en-US"/>
              </w:rPr>
              <w:t xml:space="preserve"> знакомство со спецификой диагностики и консультирования по вопросам детско-родительских отношений;</w:t>
            </w:r>
          </w:p>
          <w:p w14:paraId="3AC34577"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lang w:val="en-US"/>
              </w:rPr>
              <w:t>освоение форм и методов психологической коррекции детско-родительских отношений</w:t>
            </w:r>
          </w:p>
        </w:tc>
        <w:tc>
          <w:tcPr>
            <w:tcW w:w="2724" w:type="dxa"/>
          </w:tcPr>
          <w:p w14:paraId="0673E56B"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Доцент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кафедры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педагогики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и психологии , к.псх.н., доцент Жданова Л.Г.</w:t>
            </w:r>
          </w:p>
        </w:tc>
      </w:tr>
      <w:tr w14:paraId="6DF2D8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0" w:type="dxa"/>
            <w:vMerge w:val="continue"/>
          </w:tcPr>
          <w:p w14:paraId="2403B220">
            <w:pPr>
              <w:spacing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28" w:type="dxa"/>
          </w:tcPr>
          <w:p w14:paraId="2CCA9FE2"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Учебная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лаборатория психолого-педагогических исследований в образовательной практике</w:t>
            </w:r>
          </w:p>
        </w:tc>
        <w:tc>
          <w:tcPr>
            <w:tcW w:w="2592" w:type="dxa"/>
          </w:tcPr>
          <w:p w14:paraId="716EE144">
            <w:pPr>
              <w:spacing w:after="0" w:line="240" w:lineRule="auto"/>
              <w:jc w:val="left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ru-RU" w:eastAsia="ru-RU"/>
              </w:rPr>
              <w:t>сформировать у студентов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val="ru-RU" w:eastAsia="ru-RU"/>
              </w:rPr>
              <w:t>компетенции в области методологии и методики психолого-педагогических исследований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>;</w:t>
            </w:r>
          </w:p>
          <w:p w14:paraId="07B17757"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ru-RU" w:eastAsia="ru-RU"/>
              </w:rPr>
              <w:t>подготовить их к решению практических задач в образовательном процессе</w:t>
            </w:r>
          </w:p>
        </w:tc>
        <w:tc>
          <w:tcPr>
            <w:tcW w:w="2724" w:type="dxa"/>
          </w:tcPr>
          <w:p w14:paraId="7EF2FC0B">
            <w:pPr>
              <w:spacing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Доцент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кафедры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педагогики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и психологии , к.псх.н., доцент Мухина Ю.Р.</w:t>
            </w:r>
          </w:p>
        </w:tc>
      </w:tr>
      <w:tr w14:paraId="1C1599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0" w:type="dxa"/>
            <w:vMerge w:val="continue"/>
          </w:tcPr>
          <w:p w14:paraId="71828324">
            <w:pPr>
              <w:spacing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28" w:type="dxa"/>
          </w:tcPr>
          <w:p w14:paraId="59FAB7A5"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Учебная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лаборатория методов и технологий консультационной работы в образовании </w:t>
            </w:r>
          </w:p>
        </w:tc>
        <w:tc>
          <w:tcPr>
            <w:tcW w:w="2592" w:type="dxa"/>
          </w:tcPr>
          <w:p w14:paraId="4950BB58"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 xml:space="preserve">Педагогическое, процедурно- диагностическое, программно- и организационно-методическое консультирование студентов </w:t>
            </w:r>
          </w:p>
        </w:tc>
        <w:tc>
          <w:tcPr>
            <w:tcW w:w="2724" w:type="dxa"/>
          </w:tcPr>
          <w:p w14:paraId="57C969F9"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Доцент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кафедры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педагогики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и психологии , к.псх.н., доцент Забродина Л.А.</w:t>
            </w:r>
          </w:p>
        </w:tc>
      </w:tr>
    </w:tbl>
    <w:p w14:paraId="402125A3">
      <w:pPr>
        <w:spacing w:after="0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3BD83436">
      <w:pPr>
        <w:spacing w:after="0"/>
      </w:pPr>
    </w:p>
    <w:p w14:paraId="22E84FA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Научно-исследовательские базы для осуществления научной деятельности, с которыми заключены договора о сотрудничестве</w:t>
      </w:r>
    </w:p>
    <w:p w14:paraId="5445ACD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4"/>
        <w:tblW w:w="1060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6"/>
        <w:gridCol w:w="1341"/>
        <w:gridCol w:w="2856"/>
        <w:gridCol w:w="1823"/>
        <w:gridCol w:w="2472"/>
        <w:gridCol w:w="1596"/>
      </w:tblGrid>
      <w:tr w14:paraId="257AFB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  <w:shd w:val="clear" w:color="auto" w:fill="auto"/>
            <w:vAlign w:val="top"/>
          </w:tcPr>
          <w:p w14:paraId="7CA63EBC">
            <w:pPr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341" w:type="dxa"/>
            <w:shd w:val="clear" w:color="auto" w:fill="auto"/>
            <w:vAlign w:val="top"/>
          </w:tcPr>
          <w:p w14:paraId="6701A24A">
            <w:pPr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Номер договора </w:t>
            </w:r>
          </w:p>
        </w:tc>
        <w:tc>
          <w:tcPr>
            <w:tcW w:w="2856" w:type="dxa"/>
            <w:shd w:val="clear" w:color="auto" w:fill="auto"/>
            <w:vAlign w:val="top"/>
          </w:tcPr>
          <w:p w14:paraId="3D287998">
            <w:pPr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учреждения</w:t>
            </w:r>
          </w:p>
        </w:tc>
        <w:tc>
          <w:tcPr>
            <w:tcW w:w="1823" w:type="dxa"/>
            <w:shd w:val="clear" w:color="auto" w:fill="auto"/>
            <w:vAlign w:val="top"/>
          </w:tcPr>
          <w:p w14:paraId="572F0B43">
            <w:pPr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учреждения</w:t>
            </w:r>
          </w:p>
        </w:tc>
        <w:tc>
          <w:tcPr>
            <w:tcW w:w="2472" w:type="dxa"/>
            <w:shd w:val="clear" w:color="auto" w:fill="auto"/>
            <w:vAlign w:val="top"/>
          </w:tcPr>
          <w:p w14:paraId="1CB42367">
            <w:pPr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Адрес, телефон учреждения</w:t>
            </w:r>
          </w:p>
        </w:tc>
        <w:tc>
          <w:tcPr>
            <w:tcW w:w="1596" w:type="dxa"/>
            <w:shd w:val="clear" w:color="auto" w:fill="auto"/>
            <w:vAlign w:val="top"/>
          </w:tcPr>
          <w:p w14:paraId="54AAA4C5">
            <w:pPr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действия договора</w:t>
            </w:r>
          </w:p>
        </w:tc>
      </w:tr>
      <w:tr w14:paraId="287CC9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</w:tcPr>
          <w:p w14:paraId="2B0D8A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41" w:type="dxa"/>
          </w:tcPr>
          <w:p w14:paraId="411895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2023-05-77</w:t>
            </w:r>
          </w:p>
        </w:tc>
        <w:tc>
          <w:tcPr>
            <w:tcW w:w="2856" w:type="dxa"/>
          </w:tcPr>
          <w:p w14:paraId="1894B5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ГБУ СО "Агентство по реализации молодежной политики"</w:t>
            </w:r>
          </w:p>
        </w:tc>
        <w:tc>
          <w:tcPr>
            <w:tcW w:w="1823" w:type="dxa"/>
          </w:tcPr>
          <w:p w14:paraId="6069D5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А.И.Орлов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472" w:type="dxa"/>
            <w:shd w:val="clear" w:color="auto" w:fill="auto"/>
            <w:vAlign w:val="top"/>
          </w:tcPr>
          <w:p w14:paraId="6235C152">
            <w:pPr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г.Самара, пр.Масленникова, д.7</w:t>
            </w:r>
          </w:p>
        </w:tc>
        <w:tc>
          <w:tcPr>
            <w:tcW w:w="1596" w:type="dxa"/>
            <w:shd w:val="clear" w:color="auto" w:fill="auto"/>
            <w:vAlign w:val="top"/>
          </w:tcPr>
          <w:p w14:paraId="381F0CDD">
            <w:pPr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25.05.2023 по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31.08.2028</w:t>
            </w:r>
          </w:p>
        </w:tc>
      </w:tr>
      <w:tr w14:paraId="594C09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</w:tcPr>
          <w:p w14:paraId="48195A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341" w:type="dxa"/>
          </w:tcPr>
          <w:p w14:paraId="636D6A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2023-05-25</w:t>
            </w:r>
          </w:p>
        </w:tc>
        <w:tc>
          <w:tcPr>
            <w:tcW w:w="2856" w:type="dxa"/>
          </w:tcPr>
          <w:p w14:paraId="69D3A0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"Многофункциональный центр предоставления государственных и муниципальных услуг г.о.Чапаевск"</w:t>
            </w:r>
          </w:p>
        </w:tc>
        <w:tc>
          <w:tcPr>
            <w:tcW w:w="1823" w:type="dxa"/>
          </w:tcPr>
          <w:p w14:paraId="6F49D2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В.А.Гришняев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472" w:type="dxa"/>
            <w:shd w:val="clear" w:color="auto" w:fill="auto"/>
            <w:vAlign w:val="top"/>
          </w:tcPr>
          <w:p w14:paraId="4CA2EDF3">
            <w:pPr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Самарская область, г.Чапаевск, ул.Пролетарская, д.5 А</w:t>
            </w:r>
          </w:p>
        </w:tc>
        <w:tc>
          <w:tcPr>
            <w:tcW w:w="1596" w:type="dxa"/>
            <w:shd w:val="clear" w:color="auto" w:fill="auto"/>
            <w:vAlign w:val="top"/>
          </w:tcPr>
          <w:p w14:paraId="694C75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19.09.2023 по</w:t>
            </w:r>
          </w:p>
          <w:p w14:paraId="499CB277">
            <w:pPr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31.08.2028</w:t>
            </w:r>
          </w:p>
        </w:tc>
      </w:tr>
      <w:tr w14:paraId="5EBF53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</w:tcPr>
          <w:p w14:paraId="34BC47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341" w:type="dxa"/>
          </w:tcPr>
          <w:p w14:paraId="71F7D2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2023-09-05</w:t>
            </w:r>
          </w:p>
        </w:tc>
        <w:tc>
          <w:tcPr>
            <w:tcW w:w="2856" w:type="dxa"/>
          </w:tcPr>
          <w:p w14:paraId="619954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"Дельта-Самара"</w:t>
            </w:r>
          </w:p>
        </w:tc>
        <w:tc>
          <w:tcPr>
            <w:tcW w:w="1823" w:type="dxa"/>
          </w:tcPr>
          <w:p w14:paraId="12FAEC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О.Л.Ветюгов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472" w:type="dxa"/>
            <w:shd w:val="clear" w:color="auto" w:fill="auto"/>
            <w:vAlign w:val="top"/>
          </w:tcPr>
          <w:p w14:paraId="5C57CDB7">
            <w:pPr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г.Самара, ул.Советской Армии, д.180, стр.1</w:t>
            </w:r>
          </w:p>
        </w:tc>
        <w:tc>
          <w:tcPr>
            <w:tcW w:w="1596" w:type="dxa"/>
            <w:shd w:val="clear" w:color="auto" w:fill="auto"/>
            <w:vAlign w:val="top"/>
          </w:tcPr>
          <w:p w14:paraId="5032E2D3">
            <w:pPr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06.09.2023бессрочно</w:t>
            </w:r>
          </w:p>
        </w:tc>
      </w:tr>
      <w:tr w14:paraId="7D5845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</w:tcPr>
          <w:p w14:paraId="3AC0F2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341" w:type="dxa"/>
          </w:tcPr>
          <w:p w14:paraId="000A09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595-02-23</w:t>
            </w:r>
          </w:p>
        </w:tc>
        <w:tc>
          <w:tcPr>
            <w:tcW w:w="2856" w:type="dxa"/>
          </w:tcPr>
          <w:p w14:paraId="34D57E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"Весеннее" г. Самара</w:t>
            </w:r>
          </w:p>
        </w:tc>
        <w:tc>
          <w:tcPr>
            <w:tcW w:w="1823" w:type="dxa"/>
          </w:tcPr>
          <w:p w14:paraId="7C436B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Е. Г. Чевтаева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472" w:type="dxa"/>
            <w:shd w:val="clear" w:color="auto" w:fill="auto"/>
            <w:vAlign w:val="top"/>
          </w:tcPr>
          <w:p w14:paraId="4934EC84">
            <w:pPr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Самара, ул. Галактионовская, 132</w:t>
            </w:r>
          </w:p>
        </w:tc>
        <w:tc>
          <w:tcPr>
            <w:tcW w:w="1596" w:type="dxa"/>
            <w:shd w:val="clear" w:color="auto" w:fill="auto"/>
            <w:vAlign w:val="top"/>
          </w:tcPr>
          <w:p w14:paraId="5E62B631">
            <w:pPr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14.02.2021по 01.07.2026</w:t>
            </w:r>
          </w:p>
        </w:tc>
      </w:tr>
    </w:tbl>
    <w:p w14:paraId="3ADF99C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4FA587E"/>
    <w:p w14:paraId="53AB89A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sectPr>
      <w:pgSz w:w="11906" w:h="16838"/>
      <w:pgMar w:top="1134" w:right="850" w:bottom="1134" w:left="85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DCA"/>
    <w:rsid w:val="00106A86"/>
    <w:rsid w:val="004073D7"/>
    <w:rsid w:val="005670E3"/>
    <w:rsid w:val="006106EF"/>
    <w:rsid w:val="00C83CAA"/>
    <w:rsid w:val="00D833B6"/>
    <w:rsid w:val="00DF0535"/>
    <w:rsid w:val="00EE2DCA"/>
    <w:rsid w:val="00F60A3C"/>
    <w:rsid w:val="17940EFB"/>
    <w:rsid w:val="1EFD6314"/>
    <w:rsid w:val="4FD87E88"/>
    <w:rsid w:val="55517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Table Paragraph"/>
    <w:basedOn w:val="1"/>
    <w:qFormat/>
    <w:uiPriority w:val="1"/>
    <w:pPr>
      <w:widowControl w:val="0"/>
      <w:autoSpaceDE w:val="0"/>
      <w:autoSpaceDN w:val="0"/>
      <w:spacing w:after="0" w:line="240" w:lineRule="auto"/>
      <w:ind w:left="106"/>
    </w:pPr>
    <w:rPr>
      <w:rFonts w:ascii="Times New Roman" w:hAnsi="Times New Roman" w:eastAsia="Times New Roman" w:cs="Times New Roma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263</Words>
  <Characters>1505</Characters>
  <Lines>12</Lines>
  <Paragraphs>3</Paragraphs>
  <TotalTime>0</TotalTime>
  <ScaleCrop>false</ScaleCrop>
  <LinksUpToDate>false</LinksUpToDate>
  <CharactersWithSpaces>1765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2023-10-17T06:14:00Z</dcterms:created>
  <dc:creator>Светлана Мишина</dc:creator>
  <cp:lastModifiedBy>User</cp:lastModifiedBy>
  <dcterms:modified xsi:type="dcterms:W3CDTF">2026-02-04T14:25:31Z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07699831A79B4BB2AE413F908C18953D_12</vt:lpwstr>
  </property>
</Properties>
</file>